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0"/>
        <w:gridCol w:w="5984"/>
        <w:gridCol w:w="1870"/>
      </w:tblGrid>
      <w:tr w:rsidR="008F2B5A" w:rsidRPr="00E30A2D" w14:paraId="30217E12"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59F42626"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0668621D"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6D88B1FF"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Effective Date:</w:t>
            </w:r>
          </w:p>
        </w:tc>
      </w:tr>
      <w:tr w:rsidR="008F2B5A" w:rsidRPr="00E30A2D" w14:paraId="7E544B37"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0FEE4AE3" w14:textId="77777777" w:rsidR="008F2B5A" w:rsidRPr="00E30A2D" w:rsidRDefault="008F2B5A" w:rsidP="00081544">
            <w:pPr>
              <w:rPr>
                <w:rFonts w:ascii="Arial" w:hAnsi="Arial" w:cs="Arial"/>
                <w:color w:val="auto"/>
                <w:sz w:val="24"/>
                <w:szCs w:val="24"/>
              </w:rPr>
            </w:pPr>
            <w:proofErr w:type="spellStart"/>
            <w:r w:rsidRPr="00E30A2D">
              <w:rPr>
                <w:rFonts w:ascii="Arial" w:hAnsi="Arial" w:cs="Arial"/>
                <w:color w:val="auto"/>
                <w:sz w:val="24"/>
                <w:szCs w:val="24"/>
              </w:rPr>
              <w:t>x.xxx</w:t>
            </w:r>
            <w:proofErr w:type="spellEnd"/>
          </w:p>
        </w:tc>
        <w:tc>
          <w:tcPr>
            <w:tcW w:w="6480" w:type="dxa"/>
            <w:tcBorders>
              <w:top w:val="outset" w:sz="6" w:space="0" w:color="auto"/>
              <w:left w:val="outset" w:sz="6" w:space="0" w:color="auto"/>
              <w:bottom w:val="outset" w:sz="6" w:space="0" w:color="auto"/>
              <w:right w:val="outset" w:sz="6" w:space="0" w:color="auto"/>
            </w:tcBorders>
          </w:tcPr>
          <w:p w14:paraId="43BBB1D8"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Risk Assessment Policy</w:t>
            </w:r>
          </w:p>
        </w:tc>
        <w:tc>
          <w:tcPr>
            <w:tcW w:w="1890" w:type="dxa"/>
            <w:tcBorders>
              <w:top w:val="outset" w:sz="6" w:space="0" w:color="auto"/>
              <w:left w:val="outset" w:sz="6" w:space="0" w:color="auto"/>
              <w:bottom w:val="outset" w:sz="6" w:space="0" w:color="auto"/>
              <w:right w:val="outset" w:sz="6" w:space="0" w:color="auto"/>
            </w:tcBorders>
          </w:tcPr>
          <w:p w14:paraId="12A27AF9"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w:t>
            </w:r>
          </w:p>
        </w:tc>
      </w:tr>
    </w:tbl>
    <w:p w14:paraId="02D675FE" w14:textId="77777777" w:rsidR="008F2B5A" w:rsidRDefault="008F2B5A"/>
    <w:p w14:paraId="7879523C" w14:textId="5F5DAB6C"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6154B425"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To ensure that Information Technology (IT) performs risk assessments in compliance with IT security policies, standards, and procedures.</w:t>
      </w:r>
    </w:p>
    <w:p w14:paraId="098FD306" w14:textId="77777777" w:rsidR="008F2B5A" w:rsidRPr="00E30A2D" w:rsidRDefault="008F2B5A" w:rsidP="008F2B5A">
      <w:pPr>
        <w:rPr>
          <w:rFonts w:ascii="Arial" w:hAnsi="Arial" w:cs="Arial"/>
          <w:color w:val="auto"/>
          <w:sz w:val="24"/>
          <w:szCs w:val="24"/>
        </w:rPr>
      </w:pPr>
    </w:p>
    <w:p w14:paraId="3363D852" w14:textId="278627C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186E9064"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8404F9">
        <w:rPr>
          <w:rFonts w:ascii="Arial" w:hAnsi="Arial" w:cs="Arial"/>
          <w:color w:val="auto"/>
          <w:sz w:val="24"/>
          <w:szCs w:val="24"/>
        </w:rPr>
        <w:t>IT</w:t>
      </w:r>
      <w:r w:rsidRPr="00E30A2D">
        <w:rPr>
          <w:rFonts w:ascii="Arial" w:hAnsi="Arial" w:cs="Arial"/>
          <w:color w:val="auto"/>
          <w:sz w:val="24"/>
          <w:szCs w:val="24"/>
        </w:rPr>
        <w:t xml:space="preserve"> resources and assets.</w:t>
      </w:r>
    </w:p>
    <w:p w14:paraId="64A6148F" w14:textId="77777777" w:rsidR="008F2B5A" w:rsidRPr="00E30A2D" w:rsidRDefault="008F2B5A" w:rsidP="008F2B5A">
      <w:pPr>
        <w:rPr>
          <w:rFonts w:ascii="Arial" w:hAnsi="Arial" w:cs="Arial"/>
          <w:color w:val="auto"/>
          <w:sz w:val="24"/>
          <w:szCs w:val="24"/>
        </w:rPr>
      </w:pPr>
    </w:p>
    <w:p w14:paraId="526F8FAF" w14:textId="77777777"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SECURITY CATEGORIZATION</w:t>
      </w:r>
    </w:p>
    <w:p w14:paraId="1CE80F55" w14:textId="77777777"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14:paraId="0DA0F2CB" w14:textId="77777777" w:rsidR="008F2B5A" w:rsidRPr="00E30A2D" w:rsidRDefault="008F2B5A" w:rsidP="00845E02">
      <w:pPr>
        <w:ind w:left="720"/>
        <w:rPr>
          <w:rFonts w:ascii="Arial" w:hAnsi="Arial" w:cs="Arial"/>
          <w:color w:val="auto"/>
          <w:sz w:val="24"/>
          <w:szCs w:val="24"/>
        </w:rPr>
      </w:pPr>
    </w:p>
    <w:p w14:paraId="728F1116" w14:textId="77777777" w:rsidR="008F2B5A" w:rsidRPr="00E30A2D" w:rsidRDefault="008F2B5A" w:rsidP="008F2B5A">
      <w:pPr>
        <w:numPr>
          <w:ilvl w:val="1"/>
          <w:numId w:val="2"/>
        </w:numPr>
        <w:ind w:left="1080"/>
        <w:contextualSpacing/>
        <w:rPr>
          <w:rFonts w:ascii="Arial" w:hAnsi="Arial" w:cs="Arial"/>
          <w:color w:val="auto"/>
          <w:sz w:val="24"/>
          <w:szCs w:val="22"/>
        </w:rPr>
      </w:pPr>
      <w:r w:rsidRPr="00E30A2D">
        <w:rPr>
          <w:rFonts w:ascii="Arial" w:hAnsi="Arial" w:cs="Arial"/>
          <w:color w:val="auto"/>
          <w:sz w:val="24"/>
          <w:szCs w:val="22"/>
        </w:rPr>
        <w:t>Apply proper security controls to data categorized as confidential by system owners, including protected health information (PHI) and personally identifiable information (PII), in accordance with applicable federal and state laws, directives, policies, regulations, standards, and guidance.</w:t>
      </w:r>
    </w:p>
    <w:p w14:paraId="758F73CC" w14:textId="77777777" w:rsidR="008F2B5A" w:rsidRPr="00E30A2D" w:rsidRDefault="008F2B5A" w:rsidP="00845E02">
      <w:pPr>
        <w:ind w:left="720"/>
        <w:rPr>
          <w:rFonts w:ascii="Arial" w:hAnsi="Arial" w:cs="Arial"/>
          <w:color w:val="auto"/>
          <w:sz w:val="24"/>
          <w:szCs w:val="24"/>
        </w:rPr>
      </w:pPr>
    </w:p>
    <w:p w14:paraId="1B5A4E3A" w14:textId="75D3633A" w:rsidR="008F2B5A" w:rsidRPr="00E30A2D" w:rsidRDefault="008F2B5A" w:rsidP="008F2B5A">
      <w:pPr>
        <w:numPr>
          <w:ilvl w:val="1"/>
          <w:numId w:val="2"/>
        </w:numPr>
        <w:ind w:left="1080"/>
        <w:contextualSpacing/>
        <w:rPr>
          <w:rFonts w:ascii="Arial" w:hAnsi="Arial" w:cs="Arial"/>
          <w:color w:val="auto"/>
          <w:sz w:val="24"/>
          <w:szCs w:val="22"/>
        </w:rPr>
      </w:pPr>
      <w:r w:rsidRPr="00E30A2D">
        <w:rPr>
          <w:rFonts w:ascii="Arial" w:hAnsi="Arial" w:cs="Arial"/>
          <w:color w:val="auto"/>
          <w:sz w:val="24"/>
          <w:szCs w:val="22"/>
        </w:rPr>
        <w:t>Document the security controls (including supporting rationale) in the security plan for the information system.</w:t>
      </w:r>
    </w:p>
    <w:p w14:paraId="7277B6F2" w14:textId="77777777" w:rsidR="008F2B5A" w:rsidRPr="00E30A2D" w:rsidRDefault="008F2B5A" w:rsidP="00845E02">
      <w:pPr>
        <w:rPr>
          <w:rFonts w:ascii="Arial" w:hAnsi="Arial" w:cs="Arial"/>
          <w:color w:val="auto"/>
          <w:sz w:val="24"/>
          <w:szCs w:val="24"/>
        </w:rPr>
      </w:pPr>
      <w:bookmarkStart w:id="0" w:name="OLE_LINK5"/>
    </w:p>
    <w:p w14:paraId="75B264BC" w14:textId="77777777"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RISK ASSESSMENT</w:t>
      </w:r>
    </w:p>
    <w:p w14:paraId="57CF8631" w14:textId="77777777"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14:paraId="4F5BF66B" w14:textId="77777777" w:rsidR="008F2B5A" w:rsidRPr="00E30A2D" w:rsidRDefault="008F2B5A" w:rsidP="00845E02">
      <w:pPr>
        <w:ind w:left="720"/>
        <w:rPr>
          <w:rFonts w:ascii="Arial" w:hAnsi="Arial" w:cs="Arial"/>
          <w:color w:val="auto"/>
          <w:sz w:val="24"/>
          <w:szCs w:val="24"/>
        </w:rPr>
      </w:pPr>
    </w:p>
    <w:p w14:paraId="160940F0" w14:textId="77777777"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Conduct (or have conducted by a qualified third-party) an assessment of risk, including the likelihood and magnitude of harm, from the unauthorized access, use, disclosure, disruption, modification, or destruction of the information system and the information it processes, stores, or transmits.</w:t>
      </w:r>
    </w:p>
    <w:p w14:paraId="7C0CF766" w14:textId="77777777" w:rsidR="008F2B5A" w:rsidRPr="00E30A2D" w:rsidRDefault="008F2B5A" w:rsidP="00845E02">
      <w:pPr>
        <w:ind w:left="720"/>
        <w:rPr>
          <w:rFonts w:ascii="Arial" w:hAnsi="Arial" w:cs="Arial"/>
          <w:color w:val="auto"/>
          <w:sz w:val="24"/>
          <w:szCs w:val="24"/>
        </w:rPr>
      </w:pPr>
    </w:p>
    <w:p w14:paraId="187BF772" w14:textId="77777777"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Document risk assessment results in annual IT Risk Assessment.</w:t>
      </w:r>
    </w:p>
    <w:p w14:paraId="66D09FC3" w14:textId="77777777" w:rsidR="008F2B5A" w:rsidRPr="00E30A2D" w:rsidRDefault="008F2B5A" w:rsidP="00845E02">
      <w:pPr>
        <w:ind w:left="720"/>
        <w:rPr>
          <w:rFonts w:ascii="Arial" w:hAnsi="Arial" w:cs="Arial"/>
          <w:color w:val="auto"/>
          <w:sz w:val="24"/>
          <w:szCs w:val="24"/>
        </w:rPr>
      </w:pPr>
    </w:p>
    <w:p w14:paraId="6C8DE363" w14:textId="77777777"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Review risk assessment results quarterly.</w:t>
      </w:r>
    </w:p>
    <w:p w14:paraId="1A594E38" w14:textId="77777777" w:rsidR="008F2B5A" w:rsidRPr="00E30A2D" w:rsidRDefault="008F2B5A" w:rsidP="00845E02">
      <w:pPr>
        <w:ind w:left="720"/>
        <w:rPr>
          <w:rFonts w:ascii="Arial" w:hAnsi="Arial" w:cs="Arial"/>
          <w:color w:val="auto"/>
          <w:sz w:val="24"/>
          <w:szCs w:val="24"/>
        </w:rPr>
      </w:pPr>
    </w:p>
    <w:p w14:paraId="6F1A7A8E" w14:textId="49929B29"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Disseminate risk assessment results to stakeholders.</w:t>
      </w:r>
    </w:p>
    <w:p w14:paraId="65DC8CF9" w14:textId="77777777" w:rsidR="008F2B5A" w:rsidRPr="00E30A2D" w:rsidRDefault="008F2B5A" w:rsidP="00845E02">
      <w:pPr>
        <w:ind w:left="720"/>
        <w:rPr>
          <w:rFonts w:ascii="Arial" w:hAnsi="Arial" w:cs="Arial"/>
          <w:color w:val="auto"/>
          <w:sz w:val="24"/>
          <w:szCs w:val="24"/>
        </w:rPr>
      </w:pPr>
    </w:p>
    <w:p w14:paraId="5919222B" w14:textId="77777777" w:rsidR="008F2B5A" w:rsidRPr="00E30A2D" w:rsidRDefault="008F2B5A" w:rsidP="008F2B5A">
      <w:pPr>
        <w:numPr>
          <w:ilvl w:val="1"/>
          <w:numId w:val="3"/>
        </w:numPr>
        <w:ind w:left="1080"/>
        <w:contextualSpacing/>
        <w:rPr>
          <w:rFonts w:ascii="Arial" w:hAnsi="Arial" w:cs="Arial"/>
          <w:color w:val="auto"/>
          <w:sz w:val="24"/>
          <w:szCs w:val="22"/>
        </w:rPr>
      </w:pPr>
      <w:r w:rsidRPr="00E30A2D">
        <w:rPr>
          <w:rFonts w:ascii="Arial" w:hAnsi="Arial" w:cs="Arial"/>
          <w:color w:val="auto"/>
          <w:sz w:val="24"/>
          <w:szCs w:val="22"/>
        </w:rPr>
        <w:t>Update the risk assessment quarterly or whenever there are significant changes to the information system or environment of operation (including the identification of new threats and vulnerabilities), or other conditions that may impact the security state of the system.</w:t>
      </w:r>
    </w:p>
    <w:bookmarkEnd w:id="0"/>
    <w:p w14:paraId="3440B32C" w14:textId="77777777" w:rsidR="008F2B5A" w:rsidRPr="00E30A2D" w:rsidRDefault="008F2B5A" w:rsidP="008F2B5A">
      <w:pPr>
        <w:rPr>
          <w:rFonts w:ascii="Arial" w:hAnsi="Arial" w:cs="Arial"/>
          <w:color w:val="auto"/>
          <w:sz w:val="24"/>
          <w:szCs w:val="24"/>
        </w:rPr>
      </w:pPr>
    </w:p>
    <w:p w14:paraId="312679E0" w14:textId="77777777" w:rsidR="008F2B5A" w:rsidRPr="00E30A2D" w:rsidRDefault="008F2B5A" w:rsidP="008F2B5A">
      <w:pPr>
        <w:numPr>
          <w:ilvl w:val="0"/>
          <w:numId w:val="1"/>
        </w:numPr>
        <w:contextualSpacing/>
        <w:rPr>
          <w:rFonts w:ascii="Arial" w:hAnsi="Arial" w:cs="Arial"/>
          <w:color w:val="auto"/>
          <w:sz w:val="24"/>
          <w:szCs w:val="22"/>
        </w:rPr>
      </w:pPr>
      <w:r w:rsidRPr="00E30A2D">
        <w:rPr>
          <w:rFonts w:ascii="Arial" w:hAnsi="Arial" w:cs="Arial"/>
          <w:color w:val="auto"/>
          <w:sz w:val="24"/>
          <w:szCs w:val="22"/>
        </w:rPr>
        <w:t>VULNERABILITY SCANNING</w:t>
      </w:r>
    </w:p>
    <w:p w14:paraId="2C1E4684" w14:textId="77777777" w:rsidR="008F2B5A" w:rsidRPr="00E30A2D" w:rsidRDefault="008404F9" w:rsidP="008F2B5A">
      <w:pPr>
        <w:ind w:left="720"/>
        <w:rPr>
          <w:rFonts w:ascii="Arial" w:hAnsi="Arial" w:cs="Arial"/>
          <w:color w:val="auto"/>
          <w:sz w:val="24"/>
          <w:szCs w:val="24"/>
        </w:rPr>
      </w:pPr>
      <w:r>
        <w:rPr>
          <w:rFonts w:ascii="Arial" w:hAnsi="Arial" w:cs="Arial"/>
          <w:color w:val="auto"/>
          <w:sz w:val="24"/>
          <w:szCs w:val="24"/>
        </w:rPr>
        <w:t>IT Department</w:t>
      </w:r>
      <w:r w:rsidR="008F2B5A" w:rsidRPr="00E30A2D">
        <w:rPr>
          <w:rFonts w:ascii="Arial" w:hAnsi="Arial" w:cs="Arial"/>
          <w:color w:val="auto"/>
          <w:sz w:val="24"/>
          <w:szCs w:val="24"/>
        </w:rPr>
        <w:t xml:space="preserve"> shall:</w:t>
      </w:r>
    </w:p>
    <w:p w14:paraId="2083FC03" w14:textId="77777777" w:rsidR="008F2B5A" w:rsidRPr="00E30A2D" w:rsidRDefault="008F2B5A" w:rsidP="00845E02">
      <w:pPr>
        <w:ind w:left="720"/>
        <w:rPr>
          <w:rFonts w:ascii="Arial" w:hAnsi="Arial" w:cs="Arial"/>
          <w:color w:val="auto"/>
          <w:sz w:val="24"/>
          <w:szCs w:val="24"/>
        </w:rPr>
      </w:pPr>
    </w:p>
    <w:p w14:paraId="0267D290"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lastRenderedPageBreak/>
        <w:t xml:space="preserve">Scan for vulnerabilities in the information system and hosted applications </w:t>
      </w:r>
      <w:r w:rsidRPr="008404F9">
        <w:rPr>
          <w:rFonts w:ascii="Arial" w:hAnsi="Arial" w:cs="Arial"/>
          <w:color w:val="auto"/>
          <w:sz w:val="24"/>
          <w:szCs w:val="22"/>
        </w:rPr>
        <w:t>quarterly</w:t>
      </w:r>
      <w:r w:rsidRPr="00E30A2D">
        <w:rPr>
          <w:rFonts w:ascii="Arial" w:hAnsi="Arial" w:cs="Arial"/>
          <w:color w:val="auto"/>
          <w:sz w:val="24"/>
          <w:szCs w:val="22"/>
        </w:rPr>
        <w:t xml:space="preserve"> and/or randomly in accordance with </w:t>
      </w:r>
      <w:r w:rsidRPr="008404F9">
        <w:rPr>
          <w:rFonts w:ascii="Arial" w:hAnsi="Arial" w:cs="Arial"/>
          <w:color w:val="C00000"/>
          <w:sz w:val="24"/>
          <w:szCs w:val="22"/>
        </w:rPr>
        <w:t>[</w:t>
      </w:r>
      <w:r w:rsidR="008404F9" w:rsidRPr="008404F9">
        <w:rPr>
          <w:rFonts w:ascii="Arial" w:hAnsi="Arial" w:cs="Arial"/>
          <w:color w:val="C00000"/>
          <w:sz w:val="24"/>
          <w:szCs w:val="22"/>
        </w:rPr>
        <w:t>entity</w:t>
      </w:r>
      <w:r w:rsidRPr="008404F9">
        <w:rPr>
          <w:rFonts w:ascii="Arial" w:hAnsi="Arial" w:cs="Arial"/>
          <w:color w:val="C00000"/>
          <w:sz w:val="24"/>
          <w:szCs w:val="22"/>
        </w:rPr>
        <w:t xml:space="preserve"> defined process]</w:t>
      </w:r>
      <w:r w:rsidRPr="00E30A2D">
        <w:rPr>
          <w:rFonts w:ascii="Arial" w:hAnsi="Arial" w:cs="Arial"/>
          <w:color w:val="auto"/>
          <w:sz w:val="24"/>
          <w:szCs w:val="22"/>
        </w:rPr>
        <w:t xml:space="preserve"> and when new vulnerabilities potentially affecting the system/applications are identified and reported.</w:t>
      </w:r>
    </w:p>
    <w:p w14:paraId="64059F20" w14:textId="77777777" w:rsidR="008F2B5A" w:rsidRPr="00E30A2D" w:rsidRDefault="008F2B5A" w:rsidP="00845E02">
      <w:pPr>
        <w:ind w:left="720"/>
        <w:rPr>
          <w:rFonts w:ascii="Arial" w:hAnsi="Arial" w:cs="Arial"/>
          <w:color w:val="auto"/>
          <w:sz w:val="24"/>
          <w:szCs w:val="24"/>
        </w:rPr>
      </w:pPr>
    </w:p>
    <w:p w14:paraId="46B66D09"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and techniques that facilitate interoperability among tools and automate parts of the vulnerability management process by using standards for:</w:t>
      </w:r>
    </w:p>
    <w:p w14:paraId="5F81DE04" w14:textId="77777777" w:rsidR="008F2B5A" w:rsidRPr="00E30A2D" w:rsidRDefault="008F2B5A" w:rsidP="00845E02">
      <w:pPr>
        <w:ind w:left="720"/>
        <w:rPr>
          <w:rFonts w:ascii="Arial" w:hAnsi="Arial" w:cs="Arial"/>
          <w:color w:val="auto"/>
          <w:sz w:val="24"/>
          <w:szCs w:val="24"/>
        </w:rPr>
      </w:pPr>
    </w:p>
    <w:p w14:paraId="142F20F0" w14:textId="77777777"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Enumerating platforms, software flaws, and improper configurations.</w:t>
      </w:r>
    </w:p>
    <w:p w14:paraId="6F0F56B9" w14:textId="77777777" w:rsidR="008F2B5A" w:rsidRPr="00E30A2D" w:rsidRDefault="008F2B5A" w:rsidP="008F2B5A">
      <w:pPr>
        <w:ind w:left="1440"/>
        <w:rPr>
          <w:rFonts w:ascii="Arial" w:hAnsi="Arial" w:cs="Arial"/>
          <w:color w:val="auto"/>
          <w:sz w:val="24"/>
          <w:szCs w:val="24"/>
        </w:rPr>
      </w:pPr>
    </w:p>
    <w:p w14:paraId="3A7EF89C" w14:textId="77777777"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Formatting checklists and test procedures.</w:t>
      </w:r>
    </w:p>
    <w:p w14:paraId="341446D3" w14:textId="77777777" w:rsidR="008F2B5A" w:rsidRPr="00E30A2D" w:rsidRDefault="008F2B5A" w:rsidP="008F2B5A">
      <w:pPr>
        <w:ind w:left="1440"/>
        <w:rPr>
          <w:rFonts w:ascii="Arial" w:hAnsi="Arial" w:cs="Arial"/>
          <w:color w:val="auto"/>
          <w:sz w:val="24"/>
          <w:szCs w:val="24"/>
        </w:rPr>
      </w:pPr>
    </w:p>
    <w:p w14:paraId="08EDD171" w14:textId="77777777" w:rsidR="008F2B5A" w:rsidRPr="00E30A2D" w:rsidRDefault="008F2B5A" w:rsidP="008F2B5A">
      <w:pPr>
        <w:numPr>
          <w:ilvl w:val="0"/>
          <w:numId w:val="5"/>
        </w:numPr>
        <w:contextualSpacing/>
        <w:rPr>
          <w:rFonts w:ascii="Arial" w:hAnsi="Arial" w:cs="Arial"/>
          <w:color w:val="auto"/>
          <w:sz w:val="24"/>
          <w:szCs w:val="22"/>
        </w:rPr>
      </w:pPr>
      <w:r w:rsidRPr="00E30A2D">
        <w:rPr>
          <w:rFonts w:ascii="Arial" w:hAnsi="Arial" w:cs="Arial"/>
          <w:color w:val="auto"/>
          <w:sz w:val="24"/>
          <w:szCs w:val="22"/>
        </w:rPr>
        <w:t>Measuring vulnerability impact.</w:t>
      </w:r>
    </w:p>
    <w:p w14:paraId="268885CA" w14:textId="77777777" w:rsidR="008F2B5A" w:rsidRPr="00E30A2D" w:rsidRDefault="008F2B5A" w:rsidP="00BC58D2">
      <w:pPr>
        <w:ind w:left="720"/>
        <w:rPr>
          <w:rFonts w:ascii="Arial" w:hAnsi="Arial" w:cs="Arial"/>
          <w:color w:val="auto"/>
          <w:sz w:val="24"/>
          <w:szCs w:val="24"/>
        </w:rPr>
      </w:pPr>
    </w:p>
    <w:p w14:paraId="5E815087"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Analyze vulnerability scan reports and results from security control assessments.</w:t>
      </w:r>
    </w:p>
    <w:p w14:paraId="21FB2316" w14:textId="77777777" w:rsidR="008F2B5A" w:rsidRPr="00E30A2D" w:rsidRDefault="008F2B5A" w:rsidP="00BC58D2">
      <w:pPr>
        <w:ind w:left="720"/>
        <w:rPr>
          <w:rFonts w:ascii="Arial" w:hAnsi="Arial" w:cs="Arial"/>
          <w:color w:val="auto"/>
          <w:sz w:val="24"/>
          <w:szCs w:val="24"/>
        </w:rPr>
      </w:pPr>
    </w:p>
    <w:p w14:paraId="3A7DC6E1"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Remediate legitimate vulnerabilities within one month in accordance with an organizational assessment of risk.</w:t>
      </w:r>
    </w:p>
    <w:p w14:paraId="06436EF2" w14:textId="77777777" w:rsidR="008F2B5A" w:rsidRPr="00E30A2D" w:rsidRDefault="008F2B5A" w:rsidP="00BC58D2">
      <w:pPr>
        <w:ind w:left="720"/>
        <w:rPr>
          <w:rFonts w:ascii="Arial" w:hAnsi="Arial" w:cs="Arial"/>
          <w:color w:val="auto"/>
          <w:sz w:val="24"/>
          <w:szCs w:val="24"/>
        </w:rPr>
      </w:pPr>
    </w:p>
    <w:p w14:paraId="6403FF25"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Share information obtained from the vulnerability scanning process and security control assessments with the Chief Information Officer to help eliminate similar vulnerabilities in other information systems (i.e., systemic weaknesses or deficiencies).</w:t>
      </w:r>
    </w:p>
    <w:p w14:paraId="0860285A" w14:textId="77777777" w:rsidR="008F2B5A" w:rsidRPr="00E30A2D" w:rsidRDefault="008F2B5A" w:rsidP="00BC58D2">
      <w:pPr>
        <w:ind w:left="720"/>
        <w:rPr>
          <w:rFonts w:ascii="Arial" w:hAnsi="Arial" w:cs="Arial"/>
          <w:color w:val="auto"/>
          <w:sz w:val="24"/>
          <w:szCs w:val="24"/>
        </w:rPr>
      </w:pPr>
    </w:p>
    <w:p w14:paraId="6BF8CC79"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Employ vulnerability scanning tools that include the capability to readily update the information system vulnerabilities to be scanned.</w:t>
      </w:r>
    </w:p>
    <w:p w14:paraId="42C93E9C" w14:textId="77777777" w:rsidR="008F2B5A" w:rsidRPr="00E30A2D" w:rsidRDefault="008F2B5A" w:rsidP="00BC58D2">
      <w:pPr>
        <w:ind w:left="720"/>
        <w:rPr>
          <w:rFonts w:ascii="Arial" w:hAnsi="Arial" w:cs="Arial"/>
          <w:color w:val="auto"/>
          <w:sz w:val="24"/>
          <w:szCs w:val="24"/>
        </w:rPr>
      </w:pPr>
    </w:p>
    <w:p w14:paraId="3D73BBDE"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Update the information system vulnerabilities scanned monthly, prior to a new scan, or when new vulnerabilities are identified and reported.</w:t>
      </w:r>
    </w:p>
    <w:p w14:paraId="1BFAFB48" w14:textId="77777777" w:rsidR="008F2B5A" w:rsidRPr="00E30A2D" w:rsidRDefault="008F2B5A" w:rsidP="00BC58D2">
      <w:pPr>
        <w:ind w:left="720"/>
        <w:rPr>
          <w:rFonts w:ascii="Arial" w:hAnsi="Arial" w:cs="Arial"/>
          <w:color w:val="auto"/>
          <w:sz w:val="24"/>
          <w:szCs w:val="24"/>
        </w:rPr>
      </w:pPr>
    </w:p>
    <w:p w14:paraId="0686C583" w14:textId="77777777" w:rsidR="008F2B5A" w:rsidRPr="00E30A2D" w:rsidRDefault="008F2B5A" w:rsidP="008F2B5A">
      <w:pPr>
        <w:numPr>
          <w:ilvl w:val="1"/>
          <w:numId w:val="4"/>
        </w:numPr>
        <w:ind w:left="1080"/>
        <w:contextualSpacing/>
        <w:rPr>
          <w:rFonts w:ascii="Arial" w:hAnsi="Arial" w:cs="Arial"/>
          <w:color w:val="auto"/>
          <w:sz w:val="24"/>
          <w:szCs w:val="22"/>
        </w:rPr>
      </w:pPr>
      <w:r w:rsidRPr="00E30A2D">
        <w:rPr>
          <w:rFonts w:ascii="Arial" w:hAnsi="Arial" w:cs="Arial"/>
          <w:color w:val="auto"/>
          <w:sz w:val="24"/>
          <w:szCs w:val="22"/>
        </w:rPr>
        <w:t>Ensure that information systems implement privileged access authorization to all systems for selected vulnerability scanning.</w:t>
      </w:r>
    </w:p>
    <w:p w14:paraId="7B53E995" w14:textId="77777777" w:rsidR="008F2B5A" w:rsidRPr="00E30A2D" w:rsidRDefault="008F2B5A" w:rsidP="008F2B5A">
      <w:pPr>
        <w:rPr>
          <w:rFonts w:ascii="Arial" w:hAnsi="Arial" w:cs="Arial"/>
          <w:color w:val="auto"/>
          <w:sz w:val="24"/>
          <w:szCs w:val="24"/>
        </w:rPr>
      </w:pPr>
    </w:p>
    <w:p w14:paraId="5D3505C5"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COMPLIANCE</w:t>
      </w:r>
    </w:p>
    <w:p w14:paraId="562B2E28"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51969B55" w14:textId="77777777" w:rsidR="008F2B5A" w:rsidRPr="00E30A2D" w:rsidRDefault="008404F9" w:rsidP="008F2B5A">
      <w:pPr>
        <w:rPr>
          <w:rFonts w:ascii="Arial" w:hAnsi="Arial" w:cs="Arial"/>
          <w:color w:val="auto"/>
          <w:sz w:val="24"/>
          <w:szCs w:val="24"/>
        </w:rPr>
      </w:pPr>
      <w:r>
        <w:rPr>
          <w:rFonts w:ascii="Arial" w:hAnsi="Arial" w:cs="Arial"/>
          <w:color w:val="auto"/>
          <w:sz w:val="24"/>
          <w:szCs w:val="24"/>
        </w:rPr>
        <w:t>E</w:t>
      </w:r>
      <w:r w:rsidR="008F2B5A"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9D1EDD0" w14:textId="77777777" w:rsidR="008F2B5A" w:rsidRPr="00E30A2D" w:rsidRDefault="008F2B5A" w:rsidP="008F2B5A">
      <w:pPr>
        <w:rPr>
          <w:rFonts w:ascii="Arial" w:hAnsi="Arial" w:cs="Arial"/>
          <w:color w:val="auto"/>
          <w:sz w:val="24"/>
          <w:szCs w:val="24"/>
        </w:rPr>
      </w:pPr>
    </w:p>
    <w:p w14:paraId="259D078D"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POLICY EXCEPTIONS</w:t>
      </w:r>
    </w:p>
    <w:p w14:paraId="14376E8A"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2D984E18"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lastRenderedPageBreak/>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404F9">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w:t>
      </w:r>
      <w:r w:rsidR="008404F9">
        <w:rPr>
          <w:rFonts w:ascii="Arial" w:hAnsi="Arial" w:cs="Arial"/>
          <w:color w:val="auto"/>
          <w:sz w:val="24"/>
          <w:szCs w:val="24"/>
        </w:rPr>
        <w:t>d</w:t>
      </w:r>
      <w:r w:rsidRPr="00E30A2D">
        <w:rPr>
          <w:rFonts w:ascii="Arial" w:hAnsi="Arial" w:cs="Arial"/>
          <w:color w:val="auto"/>
          <w:sz w:val="24"/>
          <w:szCs w:val="24"/>
        </w:rPr>
        <w:t>epartment.</w:t>
      </w:r>
    </w:p>
    <w:p w14:paraId="46F8BDC5" w14:textId="77777777" w:rsidR="008F2B5A" w:rsidRPr="00E30A2D" w:rsidRDefault="008F2B5A" w:rsidP="008F2B5A">
      <w:pPr>
        <w:rPr>
          <w:rFonts w:ascii="Arial" w:hAnsi="Arial" w:cs="Arial"/>
          <w:color w:val="auto"/>
          <w:sz w:val="24"/>
          <w:szCs w:val="24"/>
        </w:rPr>
      </w:pPr>
    </w:p>
    <w:p w14:paraId="4F94FA3E"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215107E6"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31086F4F" w14:textId="77777777" w:rsidR="008F2B5A" w:rsidRPr="00E30A2D" w:rsidRDefault="008F2B5A" w:rsidP="008F2B5A">
      <w:pPr>
        <w:rPr>
          <w:rFonts w:ascii="Arial" w:hAnsi="Arial" w:cs="Arial"/>
          <w:color w:val="auto"/>
          <w:sz w:val="24"/>
          <w:szCs w:val="24"/>
        </w:rPr>
      </w:pPr>
    </w:p>
    <w:p w14:paraId="2BA302DE" w14:textId="77777777" w:rsidR="008F2B5A" w:rsidRPr="00E30A2D" w:rsidRDefault="008F2B5A" w:rsidP="008F2B5A">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27B1B7F8" w14:textId="77777777" w:rsidR="008F2B5A" w:rsidRPr="00E30A2D" w:rsidRDefault="008F2B5A" w:rsidP="008F2B5A">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8F2B5A" w:rsidRPr="00E30A2D" w14:paraId="416F260B"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7EB7D35"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Date Issued:</w:t>
            </w:r>
          </w:p>
        </w:tc>
        <w:tc>
          <w:tcPr>
            <w:tcW w:w="1860" w:type="dxa"/>
            <w:tcBorders>
              <w:top w:val="outset" w:sz="6" w:space="0" w:color="auto"/>
              <w:left w:val="outset" w:sz="6" w:space="0" w:color="auto"/>
              <w:bottom w:val="outset" w:sz="6" w:space="0" w:color="auto"/>
              <w:right w:val="outset" w:sz="6" w:space="0" w:color="auto"/>
            </w:tcBorders>
          </w:tcPr>
          <w:p w14:paraId="502F4B78"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MM/DD/YYYY</w:t>
            </w:r>
          </w:p>
        </w:tc>
      </w:tr>
      <w:tr w:rsidR="008F2B5A" w:rsidRPr="00E30A2D" w14:paraId="77D9F96A"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6013399A"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Date Reviewed:</w:t>
            </w:r>
          </w:p>
        </w:tc>
        <w:tc>
          <w:tcPr>
            <w:tcW w:w="1860" w:type="dxa"/>
            <w:tcBorders>
              <w:top w:val="outset" w:sz="6" w:space="0" w:color="auto"/>
              <w:left w:val="outset" w:sz="6" w:space="0" w:color="auto"/>
              <w:bottom w:val="outset" w:sz="6" w:space="0" w:color="auto"/>
              <w:right w:val="outset" w:sz="6" w:space="0" w:color="auto"/>
            </w:tcBorders>
          </w:tcPr>
          <w:p w14:paraId="5C95BF55" w14:textId="77777777" w:rsidR="008F2B5A" w:rsidRPr="00E30A2D" w:rsidRDefault="008F2B5A" w:rsidP="00081544">
            <w:pPr>
              <w:rPr>
                <w:rFonts w:ascii="Arial" w:hAnsi="Arial" w:cs="Arial"/>
                <w:color w:val="auto"/>
                <w:sz w:val="24"/>
                <w:szCs w:val="24"/>
              </w:rPr>
            </w:pPr>
            <w:r w:rsidRPr="00E30A2D">
              <w:rPr>
                <w:rFonts w:ascii="Arial" w:hAnsi="Arial" w:cs="Arial"/>
                <w:color w:val="auto"/>
                <w:sz w:val="24"/>
                <w:szCs w:val="24"/>
              </w:rPr>
              <w:t>MM/DD/YYYY</w:t>
            </w:r>
          </w:p>
        </w:tc>
      </w:tr>
    </w:tbl>
    <w:p w14:paraId="00425A0A" w14:textId="77777777" w:rsidR="008F2B5A" w:rsidRPr="00BC58D2" w:rsidRDefault="008F2B5A">
      <w:pPr>
        <w:rPr>
          <w:rFonts w:ascii="Arial" w:hAnsi="Arial" w:cs="Arial"/>
          <w:sz w:val="24"/>
          <w:szCs w:val="24"/>
        </w:rPr>
      </w:pPr>
    </w:p>
    <w:sectPr w:rsidR="008F2B5A" w:rsidRPr="00BC5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1C96"/>
    <w:multiLevelType w:val="hybridMultilevel"/>
    <w:tmpl w:val="94D41B2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3C254D"/>
    <w:multiLevelType w:val="hybridMultilevel"/>
    <w:tmpl w:val="4B322F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01437"/>
    <w:multiLevelType w:val="hybridMultilevel"/>
    <w:tmpl w:val="A8DECB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258A0"/>
    <w:multiLevelType w:val="hybridMultilevel"/>
    <w:tmpl w:val="62FA6B9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6B7708A8"/>
    <w:multiLevelType w:val="hybridMultilevel"/>
    <w:tmpl w:val="3E5A5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048587">
    <w:abstractNumId w:val="4"/>
  </w:num>
  <w:num w:numId="2" w16cid:durableId="1406760454">
    <w:abstractNumId w:val="0"/>
  </w:num>
  <w:num w:numId="3" w16cid:durableId="161941172">
    <w:abstractNumId w:val="1"/>
  </w:num>
  <w:num w:numId="4" w16cid:durableId="1691487841">
    <w:abstractNumId w:val="2"/>
  </w:num>
  <w:num w:numId="5" w16cid:durableId="621958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B5A"/>
    <w:rsid w:val="00111C6D"/>
    <w:rsid w:val="008404F9"/>
    <w:rsid w:val="00845E02"/>
    <w:rsid w:val="008F2B5A"/>
    <w:rsid w:val="00BC5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1869"/>
  <w15:chartTrackingRefBased/>
  <w15:docId w15:val="{7B26FF86-D936-4CF3-A998-8239D97D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2B5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852F2-5C62-4D76-AA7B-F2F7B71D5D13}">
  <ds:schemaRefs>
    <ds:schemaRef ds:uri="http://schemas.microsoft.com/office/2006/metadata/properties"/>
    <ds:schemaRef ds:uri="http://schemas.microsoft.com/office/infopath/2007/PartnerControls"/>
    <ds:schemaRef ds:uri="d66507cf-fa73-473b-a099-875d29e061b0"/>
    <ds:schemaRef ds:uri="d812bb52-7827-4d7f-a17a-6a6a1ceb6aac"/>
  </ds:schemaRefs>
</ds:datastoreItem>
</file>

<file path=customXml/itemProps2.xml><?xml version="1.0" encoding="utf-8"?>
<ds:datastoreItem xmlns:ds="http://schemas.openxmlformats.org/officeDocument/2006/customXml" ds:itemID="{E7AFDC5F-347C-4F05-A1AA-AD68BEDF7E7B}">
  <ds:schemaRefs>
    <ds:schemaRef ds:uri="http://schemas.microsoft.com/sharepoint/v3/contenttype/forms"/>
  </ds:schemaRefs>
</ds:datastoreItem>
</file>

<file path=customXml/itemProps3.xml><?xml version="1.0" encoding="utf-8"?>
<ds:datastoreItem xmlns:ds="http://schemas.openxmlformats.org/officeDocument/2006/customXml" ds:itemID="{F12DCE4F-CB95-4D48-9ABF-588A84508768}"/>
</file>

<file path=docProps/app.xml><?xml version="1.0" encoding="utf-8"?>
<Properties xmlns="http://schemas.openxmlformats.org/officeDocument/2006/extended-properties" xmlns:vt="http://schemas.openxmlformats.org/officeDocument/2006/docPropsVTypes">
  <Template>Normal</Template>
  <TotalTime>6</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5</cp:revision>
  <dcterms:created xsi:type="dcterms:W3CDTF">2019-09-10T13:49:00Z</dcterms:created>
  <dcterms:modified xsi:type="dcterms:W3CDTF">2024-02-06T13:31:00Z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